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4E" w:rsidRDefault="0002384E" w:rsidP="002E0E41">
      <w:pPr>
        <w:ind w:right="-180"/>
        <w:jc w:val="center"/>
        <w:rPr>
          <w:b/>
          <w:sz w:val="28"/>
          <w:szCs w:val="28"/>
        </w:rPr>
      </w:pPr>
    </w:p>
    <w:p w:rsidR="008B703C" w:rsidRPr="001E2830" w:rsidRDefault="00351790" w:rsidP="002E0E41">
      <w:pPr>
        <w:ind w:right="-180"/>
        <w:jc w:val="center"/>
        <w:rPr>
          <w:b/>
          <w:sz w:val="32"/>
          <w:szCs w:val="32"/>
        </w:rPr>
      </w:pPr>
      <w:r w:rsidRPr="001E2830">
        <w:rPr>
          <w:b/>
          <w:sz w:val="32"/>
          <w:szCs w:val="32"/>
        </w:rPr>
        <w:t>Why Teach Resources-Events-Agents (REA) Accounting?  After All No One Uses It!</w:t>
      </w:r>
    </w:p>
    <w:p w:rsidR="00A86A26" w:rsidRPr="00A86A26" w:rsidRDefault="00A86A26" w:rsidP="002E0E41">
      <w:pPr>
        <w:jc w:val="center"/>
        <w:rPr>
          <w:sz w:val="28"/>
          <w:szCs w:val="28"/>
        </w:rPr>
      </w:pPr>
      <w:r w:rsidRPr="00A86A26">
        <w:rPr>
          <w:sz w:val="28"/>
          <w:szCs w:val="28"/>
        </w:rPr>
        <w:t>By Cheryl Dunn</w:t>
      </w:r>
      <w:r w:rsidR="002E0E41">
        <w:rPr>
          <w:sz w:val="28"/>
          <w:szCs w:val="28"/>
        </w:rPr>
        <w:t>, Grand Valley State University</w:t>
      </w:r>
    </w:p>
    <w:p w:rsidR="00351790" w:rsidRDefault="00351790">
      <w:pPr>
        <w:rPr>
          <w:sz w:val="28"/>
          <w:szCs w:val="28"/>
        </w:rPr>
      </w:pPr>
    </w:p>
    <w:p w:rsidR="0002384E" w:rsidRPr="00A86A26" w:rsidRDefault="0002384E">
      <w:pPr>
        <w:rPr>
          <w:sz w:val="28"/>
          <w:szCs w:val="28"/>
        </w:rPr>
      </w:pPr>
    </w:p>
    <w:p w:rsidR="00351790" w:rsidRPr="00A86A26" w:rsidRDefault="007E69F6" w:rsidP="007E69F6">
      <w:pPr>
        <w:ind w:right="1296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34688" behindDoc="0" locked="0" layoutInCell="1" allowOverlap="1" wp14:anchorId="0CCC91E2" wp14:editId="1F0551D6">
            <wp:simplePos x="0" y="0"/>
            <wp:positionH relativeFrom="column">
              <wp:posOffset>6202207</wp:posOffset>
            </wp:positionH>
            <wp:positionV relativeFrom="paragraph">
              <wp:posOffset>27940</wp:posOffset>
            </wp:positionV>
            <wp:extent cx="457200" cy="46199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619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790" w:rsidRPr="00A86A26">
        <w:rPr>
          <w:sz w:val="28"/>
          <w:szCs w:val="28"/>
        </w:rPr>
        <w:t>Reason #10:  Teaching with REA helps students to exercise pattern-based thinking and modeling reality with symbols.</w:t>
      </w:r>
    </w:p>
    <w:p w:rsidR="00351790" w:rsidRPr="0002384E" w:rsidRDefault="00351790" w:rsidP="007E69F6">
      <w:pPr>
        <w:ind w:right="756"/>
        <w:rPr>
          <w:sz w:val="44"/>
          <w:szCs w:val="44"/>
        </w:rPr>
      </w:pPr>
    </w:p>
    <w:p w:rsidR="00351790" w:rsidRPr="00A86A26" w:rsidRDefault="007E69F6" w:rsidP="007E69F6">
      <w:pPr>
        <w:ind w:right="1296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36736" behindDoc="0" locked="0" layoutInCell="1" allowOverlap="1" wp14:anchorId="7DD05893" wp14:editId="3CE2F0FF">
            <wp:simplePos x="0" y="0"/>
            <wp:positionH relativeFrom="column">
              <wp:posOffset>6202207</wp:posOffset>
            </wp:positionH>
            <wp:positionV relativeFrom="paragraph">
              <wp:posOffset>24130</wp:posOffset>
            </wp:positionV>
            <wp:extent cx="388048" cy="457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790" w:rsidRPr="00A86A26">
        <w:rPr>
          <w:sz w:val="28"/>
          <w:szCs w:val="28"/>
        </w:rPr>
        <w:t>Reason #9:  Teaching with REA gives the course a theoretical foundation that stands the test of time.</w:t>
      </w:r>
    </w:p>
    <w:p w:rsidR="00351790" w:rsidRPr="0002384E" w:rsidRDefault="00351790" w:rsidP="007E69F6">
      <w:pPr>
        <w:ind w:right="756"/>
        <w:rPr>
          <w:sz w:val="44"/>
          <w:szCs w:val="44"/>
        </w:rPr>
      </w:pPr>
    </w:p>
    <w:p w:rsidR="00351790" w:rsidRPr="00A86A26" w:rsidRDefault="007E69F6" w:rsidP="007E69F6">
      <w:pPr>
        <w:ind w:right="1296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38784" behindDoc="0" locked="0" layoutInCell="1" allowOverlap="1" wp14:anchorId="54AF4CA1" wp14:editId="641BAD67">
            <wp:simplePos x="0" y="0"/>
            <wp:positionH relativeFrom="column">
              <wp:posOffset>5791997</wp:posOffset>
            </wp:positionH>
            <wp:positionV relativeFrom="paragraph">
              <wp:posOffset>30480</wp:posOffset>
            </wp:positionV>
            <wp:extent cx="923925" cy="448054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480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1790" w:rsidRPr="00A86A26">
        <w:rPr>
          <w:sz w:val="28"/>
          <w:szCs w:val="28"/>
        </w:rPr>
        <w:t>Reason #8:  Teaching with REA teaches students about business and accounting using the true language of business – natural language!</w:t>
      </w:r>
    </w:p>
    <w:p w:rsidR="00351790" w:rsidRPr="0002384E" w:rsidRDefault="007E69F6" w:rsidP="007E69F6">
      <w:pPr>
        <w:ind w:right="756"/>
        <w:rPr>
          <w:sz w:val="44"/>
          <w:szCs w:val="44"/>
        </w:rPr>
      </w:pPr>
      <w:r w:rsidRPr="0002384E">
        <w:rPr>
          <w:noProof/>
          <w:sz w:val="44"/>
          <w:szCs w:val="44"/>
        </w:rPr>
        <w:drawing>
          <wp:anchor distT="0" distB="0" distL="114300" distR="114300" simplePos="0" relativeHeight="251640832" behindDoc="0" locked="0" layoutInCell="1" allowOverlap="1" wp14:anchorId="19AD73E2" wp14:editId="2E435189">
            <wp:simplePos x="0" y="0"/>
            <wp:positionH relativeFrom="column">
              <wp:posOffset>6135532</wp:posOffset>
            </wp:positionH>
            <wp:positionV relativeFrom="paragraph">
              <wp:posOffset>196215</wp:posOffset>
            </wp:positionV>
            <wp:extent cx="526415" cy="533400"/>
            <wp:effectExtent l="0" t="0" r="698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790" w:rsidRPr="00A86A26" w:rsidRDefault="00351790" w:rsidP="007E69F6">
      <w:pPr>
        <w:ind w:right="1296"/>
        <w:rPr>
          <w:sz w:val="28"/>
          <w:szCs w:val="28"/>
        </w:rPr>
      </w:pPr>
      <w:r w:rsidRPr="00A86A26">
        <w:rPr>
          <w:sz w:val="28"/>
          <w:szCs w:val="28"/>
        </w:rPr>
        <w:t>Reason #7:  Teaching with REA encourages students to be economic storytellers – telling a more complete story of enterprise activities.</w:t>
      </w:r>
    </w:p>
    <w:p w:rsidR="00351790" w:rsidRPr="0002384E" w:rsidRDefault="0002384E" w:rsidP="007E69F6">
      <w:pPr>
        <w:ind w:right="756"/>
        <w:rPr>
          <w:sz w:val="44"/>
          <w:szCs w:val="44"/>
        </w:rPr>
      </w:pPr>
      <w:r w:rsidRPr="0002384E">
        <w:rPr>
          <w:noProof/>
          <w:sz w:val="44"/>
          <w:szCs w:val="44"/>
        </w:rPr>
        <w:drawing>
          <wp:anchor distT="0" distB="0" distL="114300" distR="114300" simplePos="0" relativeHeight="251642880" behindDoc="0" locked="0" layoutInCell="1" allowOverlap="1" wp14:anchorId="41BAA9D0" wp14:editId="311179FD">
            <wp:simplePos x="0" y="0"/>
            <wp:positionH relativeFrom="column">
              <wp:posOffset>6134100</wp:posOffset>
            </wp:positionH>
            <wp:positionV relativeFrom="paragraph">
              <wp:posOffset>266405</wp:posOffset>
            </wp:positionV>
            <wp:extent cx="589915" cy="561975"/>
            <wp:effectExtent l="0" t="0" r="63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15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790" w:rsidRPr="00A86A26" w:rsidRDefault="00351790" w:rsidP="007E69F6">
      <w:pPr>
        <w:ind w:right="1296"/>
        <w:rPr>
          <w:sz w:val="28"/>
          <w:szCs w:val="28"/>
        </w:rPr>
      </w:pPr>
      <w:r w:rsidRPr="00A86A26">
        <w:rPr>
          <w:sz w:val="28"/>
          <w:szCs w:val="28"/>
        </w:rPr>
        <w:t>Reason #6: Teaching with REA provides a framework within which traditional CPA exam topics such as system documentation (flowcharting) and internal controls fit well.</w:t>
      </w:r>
    </w:p>
    <w:p w:rsidR="00351790" w:rsidRPr="0002384E" w:rsidRDefault="007E69F6" w:rsidP="007E69F6">
      <w:pPr>
        <w:ind w:right="756"/>
        <w:rPr>
          <w:sz w:val="44"/>
          <w:szCs w:val="44"/>
        </w:rPr>
      </w:pPr>
      <w:r w:rsidRPr="0002384E">
        <w:rPr>
          <w:noProof/>
          <w:sz w:val="44"/>
          <w:szCs w:val="44"/>
        </w:rPr>
        <w:drawing>
          <wp:anchor distT="0" distB="0" distL="114300" distR="114300" simplePos="0" relativeHeight="251644928" behindDoc="0" locked="0" layoutInCell="1" allowOverlap="1" wp14:anchorId="6EDDB7DF" wp14:editId="4AE3EADC">
            <wp:simplePos x="0" y="0"/>
            <wp:positionH relativeFrom="column">
              <wp:posOffset>6373495</wp:posOffset>
            </wp:positionH>
            <wp:positionV relativeFrom="paragraph">
              <wp:posOffset>15638</wp:posOffset>
            </wp:positionV>
            <wp:extent cx="219075" cy="781007"/>
            <wp:effectExtent l="0" t="0" r="0" b="63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7810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790" w:rsidRPr="00A86A26" w:rsidRDefault="00351790" w:rsidP="007E69F6">
      <w:pPr>
        <w:ind w:right="1296"/>
        <w:rPr>
          <w:sz w:val="28"/>
          <w:szCs w:val="28"/>
        </w:rPr>
      </w:pPr>
      <w:r w:rsidRPr="00A86A26">
        <w:rPr>
          <w:sz w:val="28"/>
          <w:szCs w:val="28"/>
        </w:rPr>
        <w:t>Reason #5: Teaching with REA can be re</w:t>
      </w:r>
      <w:r w:rsidR="002E0E41">
        <w:rPr>
          <w:sz w:val="28"/>
          <w:szCs w:val="28"/>
        </w:rPr>
        <w:t>ally FUN!!  Skits, role-playing,</w:t>
      </w:r>
      <w:r w:rsidRPr="00A86A26">
        <w:rPr>
          <w:sz w:val="28"/>
          <w:szCs w:val="28"/>
        </w:rPr>
        <w:t xml:space="preserve"> and hands-on exercises facilitate engaged student learning.</w:t>
      </w:r>
    </w:p>
    <w:p w:rsidR="00351790" w:rsidRPr="0002384E" w:rsidRDefault="007E69F6" w:rsidP="007E69F6">
      <w:pPr>
        <w:ind w:right="756"/>
        <w:rPr>
          <w:sz w:val="44"/>
          <w:szCs w:val="44"/>
        </w:rPr>
      </w:pPr>
      <w:r w:rsidRPr="0002384E">
        <w:rPr>
          <w:noProof/>
          <w:sz w:val="44"/>
          <w:szCs w:val="44"/>
        </w:rPr>
        <w:drawing>
          <wp:anchor distT="0" distB="0" distL="114300" distR="114300" simplePos="0" relativeHeight="251646976" behindDoc="0" locked="0" layoutInCell="1" allowOverlap="1" wp14:anchorId="46B0ABAE" wp14:editId="02B71186">
            <wp:simplePos x="0" y="0"/>
            <wp:positionH relativeFrom="column">
              <wp:posOffset>6003232</wp:posOffset>
            </wp:positionH>
            <wp:positionV relativeFrom="paragraph">
              <wp:posOffset>86360</wp:posOffset>
            </wp:positionV>
            <wp:extent cx="631190" cy="51816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3119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790" w:rsidRPr="00A86A26" w:rsidRDefault="00351790" w:rsidP="007E69F6">
      <w:pPr>
        <w:ind w:right="756"/>
        <w:rPr>
          <w:sz w:val="28"/>
          <w:szCs w:val="28"/>
        </w:rPr>
      </w:pPr>
      <w:r w:rsidRPr="00A86A26">
        <w:rPr>
          <w:sz w:val="28"/>
          <w:szCs w:val="28"/>
        </w:rPr>
        <w:t>Reason #4: Teaching with REA is globally approved.</w:t>
      </w:r>
    </w:p>
    <w:p w:rsidR="00351790" w:rsidRPr="0002384E" w:rsidRDefault="005376D3" w:rsidP="007E69F6">
      <w:pPr>
        <w:ind w:right="756"/>
        <w:rPr>
          <w:sz w:val="40"/>
          <w:szCs w:val="40"/>
        </w:rPr>
      </w:pPr>
      <w:r w:rsidRPr="0002384E">
        <w:rPr>
          <w:noProof/>
          <w:sz w:val="40"/>
          <w:szCs w:val="40"/>
        </w:rPr>
        <w:drawing>
          <wp:anchor distT="0" distB="0" distL="114300" distR="114300" simplePos="0" relativeHeight="251649024" behindDoc="0" locked="0" layoutInCell="1" allowOverlap="1" wp14:anchorId="3E77F7B3" wp14:editId="1B6668C5">
            <wp:simplePos x="0" y="0"/>
            <wp:positionH relativeFrom="column">
              <wp:posOffset>6259357</wp:posOffset>
            </wp:positionH>
            <wp:positionV relativeFrom="paragraph">
              <wp:posOffset>163830</wp:posOffset>
            </wp:positionV>
            <wp:extent cx="330548" cy="51974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48" cy="519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790" w:rsidRPr="00A86A26" w:rsidRDefault="00351790" w:rsidP="007E69F6">
      <w:pPr>
        <w:ind w:right="1296"/>
        <w:rPr>
          <w:sz w:val="28"/>
          <w:szCs w:val="28"/>
        </w:rPr>
      </w:pPr>
      <w:r w:rsidRPr="00A86A26">
        <w:rPr>
          <w:sz w:val="28"/>
          <w:szCs w:val="28"/>
        </w:rPr>
        <w:t>Reason #3:  Teaching with REA will expand students’</w:t>
      </w:r>
      <w:r w:rsidR="002E0E41">
        <w:rPr>
          <w:sz w:val="28"/>
          <w:szCs w:val="28"/>
        </w:rPr>
        <w:t xml:space="preserve"> thought </w:t>
      </w:r>
      <w:r w:rsidRPr="00A86A26">
        <w:rPr>
          <w:sz w:val="28"/>
          <w:szCs w:val="28"/>
        </w:rPr>
        <w:t>horizons to the future rather than miring them in the past.</w:t>
      </w:r>
    </w:p>
    <w:p w:rsidR="00351790" w:rsidRPr="0002384E" w:rsidRDefault="005376D3" w:rsidP="007E69F6">
      <w:pPr>
        <w:ind w:right="756"/>
        <w:rPr>
          <w:sz w:val="44"/>
          <w:szCs w:val="44"/>
        </w:rPr>
      </w:pPr>
      <w:r w:rsidRPr="0002384E">
        <w:rPr>
          <w:noProof/>
          <w:sz w:val="44"/>
          <w:szCs w:val="44"/>
        </w:rPr>
        <w:drawing>
          <wp:anchor distT="0" distB="0" distL="114300" distR="114300" simplePos="0" relativeHeight="251651072" behindDoc="0" locked="0" layoutInCell="1" allowOverlap="1" wp14:anchorId="477BDB92" wp14:editId="75A34754">
            <wp:simplePos x="0" y="0"/>
            <wp:positionH relativeFrom="column">
              <wp:posOffset>6002182</wp:posOffset>
            </wp:positionH>
            <wp:positionV relativeFrom="paragraph">
              <wp:posOffset>116840</wp:posOffset>
            </wp:positionV>
            <wp:extent cx="655528" cy="490626"/>
            <wp:effectExtent l="0" t="0" r="0" b="508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528" cy="4906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790" w:rsidRPr="00A86A26" w:rsidRDefault="00351790" w:rsidP="007E69F6">
      <w:pPr>
        <w:ind w:right="1296"/>
        <w:rPr>
          <w:sz w:val="28"/>
          <w:szCs w:val="28"/>
        </w:rPr>
      </w:pPr>
      <w:r w:rsidRPr="00A86A26">
        <w:rPr>
          <w:sz w:val="28"/>
          <w:szCs w:val="28"/>
        </w:rPr>
        <w:t>Reason #2: Teaching with REA will help protect accounting from obsolescence.</w:t>
      </w:r>
    </w:p>
    <w:p w:rsidR="00351790" w:rsidRPr="0002384E" w:rsidRDefault="005376D3" w:rsidP="007E69F6">
      <w:pPr>
        <w:ind w:right="756"/>
        <w:rPr>
          <w:sz w:val="44"/>
          <w:szCs w:val="44"/>
        </w:rPr>
      </w:pPr>
      <w:r w:rsidRPr="0002384E">
        <w:rPr>
          <w:noProof/>
          <w:sz w:val="44"/>
          <w:szCs w:val="44"/>
        </w:rPr>
        <w:drawing>
          <wp:anchor distT="0" distB="0" distL="114300" distR="114300" simplePos="0" relativeHeight="251653120" behindDoc="0" locked="0" layoutInCell="1" allowOverlap="1" wp14:anchorId="45ECD7F4" wp14:editId="2A2592E5">
            <wp:simplePos x="0" y="0"/>
            <wp:positionH relativeFrom="column">
              <wp:posOffset>5839460</wp:posOffset>
            </wp:positionH>
            <wp:positionV relativeFrom="paragraph">
              <wp:posOffset>166340</wp:posOffset>
            </wp:positionV>
            <wp:extent cx="885825" cy="464185"/>
            <wp:effectExtent l="0" t="0" r="952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64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790" w:rsidRPr="00A86A26" w:rsidRDefault="00351790" w:rsidP="007E69F6">
      <w:pPr>
        <w:ind w:right="756"/>
        <w:rPr>
          <w:sz w:val="28"/>
          <w:szCs w:val="28"/>
        </w:rPr>
      </w:pPr>
      <w:r w:rsidRPr="00A86A26">
        <w:rPr>
          <w:sz w:val="28"/>
          <w:szCs w:val="28"/>
        </w:rPr>
        <w:t>Reason #1:  REA</w:t>
      </w:r>
      <w:r w:rsidR="007C7EFD">
        <w:rPr>
          <w:sz w:val="28"/>
          <w:szCs w:val="28"/>
        </w:rPr>
        <w:t xml:space="preserve"> actually IS used in practice</w:t>
      </w:r>
      <w:r w:rsidRPr="00A86A26">
        <w:rPr>
          <w:sz w:val="28"/>
          <w:szCs w:val="28"/>
        </w:rPr>
        <w:t>!!!</w:t>
      </w:r>
    </w:p>
    <w:p w:rsidR="0002384E" w:rsidRDefault="0002384E" w:rsidP="0002384E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40"/>
          <w:szCs w:val="40"/>
        </w:rPr>
      </w:pPr>
    </w:p>
    <w:p w:rsidR="0002384E" w:rsidRDefault="0002384E" w:rsidP="0002384E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40"/>
          <w:szCs w:val="40"/>
        </w:rPr>
      </w:pPr>
    </w:p>
    <w:p w:rsidR="0002384E" w:rsidRDefault="0002384E" w:rsidP="0002384E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40"/>
          <w:szCs w:val="40"/>
        </w:rPr>
      </w:pPr>
    </w:p>
    <w:p w:rsidR="0002384E" w:rsidRDefault="0002384E" w:rsidP="0002384E">
      <w:pPr>
        <w:jc w:val="center"/>
        <w:rPr>
          <w:rFonts w:ascii="Arial-BoldMT" w:hAnsi="Arial-BoldMT" w:cs="Arial-BoldMT"/>
          <w:b/>
          <w:bCs/>
          <w:sz w:val="40"/>
          <w:szCs w:val="40"/>
        </w:rPr>
      </w:pPr>
      <w:r>
        <w:rPr>
          <w:rFonts w:ascii="Arial-BoldMT" w:hAnsi="Arial-BoldMT" w:cs="Arial-BoldMT"/>
          <w:b/>
          <w:bCs/>
          <w:sz w:val="40"/>
          <w:szCs w:val="40"/>
        </w:rPr>
        <w:br w:type="page"/>
      </w:r>
      <w:r>
        <w:rPr>
          <w:rFonts w:ascii="Arial-BoldMT" w:hAnsi="Arial-BoldMT" w:cs="Arial-BoldMT"/>
          <w:b/>
          <w:bCs/>
          <w:sz w:val="40"/>
          <w:szCs w:val="40"/>
        </w:rPr>
        <w:lastRenderedPageBreak/>
        <w:t>REA Accounting Systems</w:t>
      </w:r>
    </w:p>
    <w:p w:rsidR="0002384E" w:rsidRDefault="0002384E" w:rsidP="0002384E">
      <w:pPr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sz w:val="28"/>
          <w:szCs w:val="28"/>
        </w:rPr>
      </w:pPr>
    </w:p>
    <w:p w:rsidR="0002384E" w:rsidRDefault="0002384E" w:rsidP="0002384E">
      <w:pPr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sz w:val="28"/>
          <w:szCs w:val="28"/>
        </w:rPr>
      </w:pPr>
      <w:r>
        <w:rPr>
          <w:rFonts w:ascii="Arial-ItalicMT" w:hAnsi="Arial-ItalicMT" w:cs="Arial-ItalicMT"/>
          <w:i/>
          <w:iCs/>
          <w:sz w:val="28"/>
          <w:szCs w:val="28"/>
        </w:rPr>
        <w:t>Resources-Events-Agents: An ontology for designing,</w:t>
      </w:r>
    </w:p>
    <w:p w:rsidR="0002384E" w:rsidRDefault="0002384E" w:rsidP="0002384E">
      <w:pPr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  <w:sz w:val="28"/>
          <w:szCs w:val="28"/>
        </w:rPr>
      </w:pPr>
      <w:proofErr w:type="gramStart"/>
      <w:r>
        <w:rPr>
          <w:rFonts w:ascii="Arial-ItalicMT" w:hAnsi="Arial-ItalicMT" w:cs="Arial-ItalicMT"/>
          <w:i/>
          <w:iCs/>
          <w:sz w:val="28"/>
          <w:szCs w:val="28"/>
        </w:rPr>
        <w:t>controlling</w:t>
      </w:r>
      <w:proofErr w:type="gramEnd"/>
      <w:r>
        <w:rPr>
          <w:rFonts w:ascii="Arial-ItalicMT" w:hAnsi="Arial-ItalicMT" w:cs="Arial-ItalicMT"/>
          <w:i/>
          <w:iCs/>
          <w:sz w:val="28"/>
          <w:szCs w:val="28"/>
        </w:rPr>
        <w:t>, and using integrated enterprise systems</w:t>
      </w:r>
    </w:p>
    <w:p w:rsidR="0002384E" w:rsidRDefault="0002384E" w:rsidP="0002384E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:rsidR="0002384E" w:rsidRDefault="0002384E" w:rsidP="0002384E">
      <w:pPr>
        <w:autoSpaceDE w:val="0"/>
        <w:autoSpaceDN w:val="0"/>
        <w:adjustRightInd w:val="0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CHERYL L. DUNN</w:t>
      </w:r>
    </w:p>
    <w:p w:rsidR="0002384E" w:rsidRDefault="0002384E" w:rsidP="0002384E">
      <w:pPr>
        <w:autoSpaceDE w:val="0"/>
        <w:autoSpaceDN w:val="0"/>
        <w:adjustRightInd w:val="0"/>
        <w:jc w:val="center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Grand Valley State University</w:t>
      </w:r>
    </w:p>
    <w:p w:rsidR="0002384E" w:rsidRDefault="0002384E" w:rsidP="0002384E">
      <w:pPr>
        <w:autoSpaceDE w:val="0"/>
        <w:autoSpaceDN w:val="0"/>
        <w:adjustRightInd w:val="0"/>
        <w:rPr>
          <w:rFonts w:ascii="Arial-ItalicMT" w:hAnsi="Arial-ItalicMT" w:cs="Arial-ItalicMT"/>
          <w:i/>
          <w:iCs/>
        </w:rPr>
      </w:pPr>
    </w:p>
    <w:p w:rsidR="0002384E" w:rsidRDefault="0002384E" w:rsidP="0002384E">
      <w:pPr>
        <w:autoSpaceDE w:val="0"/>
        <w:autoSpaceDN w:val="0"/>
        <w:adjustRightInd w:val="0"/>
        <w:rPr>
          <w:rFonts w:ascii="Arial-ItalicMT" w:hAnsi="Arial-ItalicMT" w:cs="Arial-ItalicMT"/>
          <w:i/>
          <w:iCs/>
        </w:rPr>
      </w:pP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b/>
          <w:bCs/>
          <w:sz w:val="24"/>
          <w:szCs w:val="24"/>
          <w:u w:val="single"/>
        </w:rPr>
      </w:pPr>
      <w:r w:rsidRPr="0002384E">
        <w:rPr>
          <w:rFonts w:ascii="Arial" w:hAnsi="Arial" w:cs="Arial"/>
          <w:b/>
          <w:bCs/>
          <w:sz w:val="24"/>
          <w:szCs w:val="24"/>
          <w:u w:val="single"/>
        </w:rPr>
        <w:t>BRIEF CONTENTS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1 Why REA? Accounting and Enterprise Systems as Economic Storytelling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2 Representation and Patterns: An Introduction to the REA Enterprise Ontology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3 Task Level Modeling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4 Enterprise System Risks and Controls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5 Conceptual and Logical Relational Database Models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6 REA Core Business Process Modeling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7 Expanded REA Business Process Modeling and View Integration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8 Database Design Implementation with Microsoft Access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9 Introduction to Querying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10 Acquisition and Revenue Cycle Information Retrieval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11 Advanced Acquisition and Revenue Cycle Information Retrieval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12 Advanced REA Modeling Concepts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 xml:space="preserve">Chapter 13 </w:t>
      </w:r>
      <w:proofErr w:type="gramStart"/>
      <w:r w:rsidRPr="0002384E">
        <w:rPr>
          <w:rFonts w:ascii="Arial" w:hAnsi="Arial" w:cs="Arial"/>
          <w:sz w:val="24"/>
          <w:szCs w:val="24"/>
        </w:rPr>
        <w:t>The</w:t>
      </w:r>
      <w:proofErr w:type="gramEnd"/>
      <w:r w:rsidRPr="0002384E">
        <w:rPr>
          <w:rFonts w:ascii="Arial" w:hAnsi="Arial" w:cs="Arial"/>
          <w:sz w:val="24"/>
          <w:szCs w:val="24"/>
        </w:rPr>
        <w:t xml:space="preserve"> Conversion Business Process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 xml:space="preserve">Chapter 14 </w:t>
      </w:r>
      <w:proofErr w:type="gramStart"/>
      <w:r w:rsidRPr="0002384E">
        <w:rPr>
          <w:rFonts w:ascii="Arial" w:hAnsi="Arial" w:cs="Arial"/>
          <w:sz w:val="24"/>
          <w:szCs w:val="24"/>
        </w:rPr>
        <w:t>The</w:t>
      </w:r>
      <w:proofErr w:type="gramEnd"/>
      <w:r w:rsidRPr="0002384E">
        <w:rPr>
          <w:rFonts w:ascii="Arial" w:hAnsi="Arial" w:cs="Arial"/>
          <w:sz w:val="24"/>
          <w:szCs w:val="24"/>
        </w:rPr>
        <w:t xml:space="preserve"> Human Resource Business Process</w:t>
      </w:r>
    </w:p>
    <w:p w:rsidR="0002384E" w:rsidRPr="0002384E" w:rsidRDefault="0002384E" w:rsidP="0002384E">
      <w:pPr>
        <w:autoSpaceDE w:val="0"/>
        <w:autoSpaceDN w:val="0"/>
        <w:adjustRightInd w:val="0"/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 xml:space="preserve">Chapter 15 </w:t>
      </w:r>
      <w:proofErr w:type="gramStart"/>
      <w:r w:rsidRPr="0002384E">
        <w:rPr>
          <w:rFonts w:ascii="Arial" w:hAnsi="Arial" w:cs="Arial"/>
          <w:sz w:val="24"/>
          <w:szCs w:val="24"/>
        </w:rPr>
        <w:t>The</w:t>
      </w:r>
      <w:proofErr w:type="gramEnd"/>
      <w:r w:rsidRPr="0002384E">
        <w:rPr>
          <w:rFonts w:ascii="Arial" w:hAnsi="Arial" w:cs="Arial"/>
          <w:sz w:val="24"/>
          <w:szCs w:val="24"/>
        </w:rPr>
        <w:t xml:space="preserve"> Financing Business Process</w:t>
      </w:r>
    </w:p>
    <w:p w:rsidR="0002384E" w:rsidRPr="0002384E" w:rsidRDefault="0002384E" w:rsidP="0002384E">
      <w:pPr>
        <w:ind w:left="720"/>
        <w:rPr>
          <w:rFonts w:ascii="Arial" w:hAnsi="Arial" w:cs="Arial"/>
          <w:sz w:val="24"/>
          <w:szCs w:val="24"/>
        </w:rPr>
      </w:pPr>
      <w:r w:rsidRPr="0002384E">
        <w:rPr>
          <w:rFonts w:ascii="Arial" w:hAnsi="Arial" w:cs="Arial"/>
          <w:sz w:val="24"/>
          <w:szCs w:val="24"/>
        </w:rPr>
        <w:t>Chapter 16 Current Accounting and Enterprise Systems</w:t>
      </w:r>
    </w:p>
    <w:p w:rsidR="0002384E" w:rsidRPr="0002384E" w:rsidRDefault="0002384E" w:rsidP="0002384E">
      <w:pPr>
        <w:ind w:left="2880"/>
        <w:rPr>
          <w:rFonts w:ascii="Arial" w:hAnsi="Arial" w:cs="Arial"/>
          <w:sz w:val="24"/>
          <w:szCs w:val="24"/>
        </w:rPr>
      </w:pPr>
    </w:p>
    <w:p w:rsidR="0002384E" w:rsidRDefault="0002384E" w:rsidP="00C472B0">
      <w:pPr>
        <w:ind w:left="2160"/>
        <w:rPr>
          <w:sz w:val="28"/>
          <w:szCs w:val="28"/>
        </w:rPr>
      </w:pPr>
    </w:p>
    <w:p w:rsidR="0002384E" w:rsidRDefault="0002384E" w:rsidP="0002384E">
      <w:pPr>
        <w:rPr>
          <w:sz w:val="24"/>
          <w:szCs w:val="24"/>
        </w:rPr>
      </w:pPr>
      <w:r w:rsidRPr="00C472B0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C969E2D" wp14:editId="693F2346">
            <wp:simplePos x="0" y="0"/>
            <wp:positionH relativeFrom="column">
              <wp:posOffset>-36195</wp:posOffset>
            </wp:positionH>
            <wp:positionV relativeFrom="paragraph">
              <wp:posOffset>190500</wp:posOffset>
            </wp:positionV>
            <wp:extent cx="1313117" cy="1743075"/>
            <wp:effectExtent l="0" t="0" r="1905" b="0"/>
            <wp:wrapNone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498" cy="17528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2384E" w:rsidRPr="0002384E" w:rsidRDefault="0002384E" w:rsidP="0002384E">
      <w:pPr>
        <w:ind w:left="2160"/>
        <w:rPr>
          <w:rFonts w:ascii="Arial" w:hAnsi="Arial" w:cs="Arial"/>
          <w:sz w:val="28"/>
          <w:szCs w:val="28"/>
        </w:rPr>
      </w:pPr>
      <w:r w:rsidRPr="0002384E">
        <w:rPr>
          <w:rFonts w:ascii="Arial" w:hAnsi="Arial" w:cs="Arial"/>
          <w:sz w:val="28"/>
          <w:szCs w:val="28"/>
        </w:rPr>
        <w:t xml:space="preserve">To learn more about REA, call the McGraw-Hill Create order desk at </w:t>
      </w:r>
      <w:hyperlink r:id="rId15" w:tgtFrame="_blank" w:history="1">
        <w:r w:rsidRPr="0002384E">
          <w:rPr>
            <w:rStyle w:val="Hyperlink"/>
            <w:rFonts w:ascii="Arial" w:hAnsi="Arial" w:cs="Arial"/>
            <w:sz w:val="28"/>
            <w:szCs w:val="28"/>
          </w:rPr>
          <w:t>800-962-9342</w:t>
        </w:r>
      </w:hyperlink>
      <w:r w:rsidRPr="0002384E">
        <w:rPr>
          <w:rFonts w:ascii="Arial" w:hAnsi="Arial" w:cs="Arial"/>
          <w:sz w:val="28"/>
          <w:szCs w:val="28"/>
        </w:rPr>
        <w:t xml:space="preserve"> to order a desk copy of </w:t>
      </w:r>
      <w:r w:rsidRPr="0002384E">
        <w:rPr>
          <w:rFonts w:ascii="Arial" w:hAnsi="Arial" w:cs="Arial"/>
          <w:i/>
          <w:sz w:val="28"/>
          <w:szCs w:val="28"/>
        </w:rPr>
        <w:t>REA Accounting Systems</w:t>
      </w:r>
      <w:r w:rsidRPr="0002384E">
        <w:rPr>
          <w:rFonts w:ascii="Arial" w:hAnsi="Arial" w:cs="Arial"/>
          <w:sz w:val="28"/>
          <w:szCs w:val="28"/>
        </w:rPr>
        <w:t xml:space="preserve"> by Cheryl Dunn, McGraw-Hill-Create publisher, 2012.  Printed version ISBN 1121555853, </w:t>
      </w:r>
      <w:proofErr w:type="spellStart"/>
      <w:r w:rsidRPr="0002384E">
        <w:rPr>
          <w:rFonts w:ascii="Arial" w:hAnsi="Arial" w:cs="Arial"/>
          <w:sz w:val="28"/>
          <w:szCs w:val="28"/>
        </w:rPr>
        <w:t>ebook</w:t>
      </w:r>
      <w:proofErr w:type="spellEnd"/>
      <w:r w:rsidRPr="0002384E">
        <w:rPr>
          <w:rFonts w:ascii="Arial" w:hAnsi="Arial" w:cs="Arial"/>
          <w:sz w:val="28"/>
          <w:szCs w:val="28"/>
        </w:rPr>
        <w:t xml:space="preserve"> ISBN 9781121647183.  </w:t>
      </w:r>
      <w:proofErr w:type="spellStart"/>
      <w:r w:rsidRPr="0002384E">
        <w:rPr>
          <w:rFonts w:ascii="Arial" w:hAnsi="Arial" w:cs="Arial"/>
          <w:sz w:val="28"/>
          <w:szCs w:val="28"/>
        </w:rPr>
        <w:t>Ebook</w:t>
      </w:r>
      <w:proofErr w:type="spellEnd"/>
      <w:r w:rsidRPr="0002384E">
        <w:rPr>
          <w:rFonts w:ascii="Arial" w:hAnsi="Arial" w:cs="Arial"/>
          <w:sz w:val="28"/>
          <w:szCs w:val="28"/>
        </w:rPr>
        <w:t xml:space="preserve"> is sold at </w:t>
      </w:r>
      <w:hyperlink r:id="rId16" w:history="1">
        <w:r w:rsidRPr="0002384E">
          <w:rPr>
            <w:rStyle w:val="Hyperlink"/>
            <w:rFonts w:ascii="Arial" w:hAnsi="Arial" w:cs="Arial"/>
            <w:sz w:val="28"/>
            <w:szCs w:val="28"/>
          </w:rPr>
          <w:t>create.mcgraw-hill.com/shop/</w:t>
        </w:r>
      </w:hyperlink>
      <w:r w:rsidRPr="0002384E">
        <w:rPr>
          <w:rFonts w:ascii="Arial" w:hAnsi="Arial" w:cs="Arial"/>
          <w:sz w:val="28"/>
          <w:szCs w:val="28"/>
        </w:rPr>
        <w:t xml:space="preserve">.  </w:t>
      </w:r>
      <w:r w:rsidR="005B0348">
        <w:rPr>
          <w:rFonts w:ascii="Arial" w:hAnsi="Arial" w:cs="Arial"/>
          <w:sz w:val="28"/>
          <w:szCs w:val="28"/>
        </w:rPr>
        <w:t xml:space="preserve">If you don’t want to use the whole book, you can create a custom version with only the chapters you want to use. </w:t>
      </w:r>
    </w:p>
    <w:p w:rsidR="005B0348" w:rsidRPr="005B0348" w:rsidRDefault="0002384E" w:rsidP="005B0348">
      <w:pPr>
        <w:ind w:left="2160"/>
        <w:rPr>
          <w:rFonts w:ascii="Arial" w:hAnsi="Arial" w:cs="Arial"/>
          <w:sz w:val="28"/>
          <w:szCs w:val="28"/>
        </w:rPr>
      </w:pPr>
      <w:r w:rsidRPr="0002384E">
        <w:rPr>
          <w:rFonts w:ascii="Arial" w:hAnsi="Arial" w:cs="Arial"/>
          <w:sz w:val="28"/>
          <w:szCs w:val="28"/>
        </w:rPr>
        <w:br/>
      </w:r>
      <w:bookmarkStart w:id="0" w:name="_GoBack"/>
      <w:bookmarkEnd w:id="0"/>
    </w:p>
    <w:p w:rsidR="0002384E" w:rsidRDefault="0002384E" w:rsidP="0002384E">
      <w:pPr>
        <w:ind w:left="2160"/>
        <w:rPr>
          <w:sz w:val="24"/>
          <w:szCs w:val="24"/>
        </w:rPr>
      </w:pPr>
    </w:p>
    <w:p w:rsidR="0002384E" w:rsidRPr="0002384E" w:rsidRDefault="0002384E" w:rsidP="0002384E">
      <w:pPr>
        <w:ind w:left="540"/>
        <w:rPr>
          <w:rFonts w:ascii="Arial" w:hAnsi="Arial" w:cs="Arial"/>
          <w:sz w:val="28"/>
          <w:szCs w:val="28"/>
        </w:rPr>
      </w:pPr>
      <w:r w:rsidRPr="0002384E">
        <w:rPr>
          <w:rFonts w:ascii="Arial" w:hAnsi="Arial" w:cs="Arial"/>
          <w:sz w:val="28"/>
          <w:szCs w:val="28"/>
        </w:rPr>
        <w:t xml:space="preserve">If you adopt this book, email </w:t>
      </w:r>
      <w:hyperlink r:id="rId17" w:history="1">
        <w:r w:rsidRPr="0002384E">
          <w:rPr>
            <w:rStyle w:val="Hyperlink"/>
            <w:rFonts w:ascii="Arial" w:hAnsi="Arial" w:cs="Arial"/>
            <w:sz w:val="28"/>
            <w:szCs w:val="28"/>
          </w:rPr>
          <w:t>justcheryl.dunn@gmail.com</w:t>
        </w:r>
      </w:hyperlink>
      <w:r w:rsidRPr="0002384E">
        <w:rPr>
          <w:rFonts w:ascii="Arial" w:hAnsi="Arial" w:cs="Arial"/>
          <w:sz w:val="28"/>
          <w:szCs w:val="28"/>
        </w:rPr>
        <w:t xml:space="preserve"> to be sent a </w:t>
      </w:r>
      <w:proofErr w:type="spellStart"/>
      <w:r w:rsidRPr="0002384E">
        <w:rPr>
          <w:rFonts w:ascii="Arial" w:hAnsi="Arial" w:cs="Arial"/>
          <w:sz w:val="28"/>
          <w:szCs w:val="28"/>
        </w:rPr>
        <w:t>dropbox</w:t>
      </w:r>
      <w:proofErr w:type="spellEnd"/>
      <w:r w:rsidRPr="0002384E">
        <w:rPr>
          <w:rFonts w:ascii="Arial" w:hAnsi="Arial" w:cs="Arial"/>
          <w:sz w:val="28"/>
          <w:szCs w:val="28"/>
        </w:rPr>
        <w:t xml:space="preserve"> link to instructor supplements – </w:t>
      </w:r>
      <w:proofErr w:type="spellStart"/>
      <w:r w:rsidRPr="0002384E">
        <w:rPr>
          <w:rFonts w:ascii="Arial" w:hAnsi="Arial" w:cs="Arial"/>
          <w:sz w:val="28"/>
          <w:szCs w:val="28"/>
        </w:rPr>
        <w:t>ppt</w:t>
      </w:r>
      <w:proofErr w:type="spellEnd"/>
      <w:r w:rsidRPr="0002384E">
        <w:rPr>
          <w:rFonts w:ascii="Arial" w:hAnsi="Arial" w:cs="Arial"/>
          <w:sz w:val="28"/>
          <w:szCs w:val="28"/>
        </w:rPr>
        <w:t xml:space="preserve"> slides, solution manual, test bank, and example databases.</w:t>
      </w:r>
    </w:p>
    <w:p w:rsidR="0002384E" w:rsidRPr="0002384E" w:rsidRDefault="0002384E" w:rsidP="0002384E">
      <w:pPr>
        <w:ind w:left="2160"/>
        <w:rPr>
          <w:rFonts w:ascii="Arial" w:hAnsi="Arial" w:cs="Arial"/>
          <w:sz w:val="28"/>
          <w:szCs w:val="28"/>
        </w:rPr>
      </w:pPr>
    </w:p>
    <w:p w:rsidR="0002384E" w:rsidRPr="00A86A26" w:rsidRDefault="0002384E" w:rsidP="0002384E">
      <w:pPr>
        <w:rPr>
          <w:sz w:val="28"/>
          <w:szCs w:val="28"/>
        </w:rPr>
      </w:pPr>
    </w:p>
    <w:sectPr w:rsidR="0002384E" w:rsidRPr="00A86A26" w:rsidSect="001E2830">
      <w:pgSz w:w="12240" w:h="15840"/>
      <w:pgMar w:top="90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790"/>
    <w:rsid w:val="0002384E"/>
    <w:rsid w:val="000F4FAB"/>
    <w:rsid w:val="001D43BC"/>
    <w:rsid w:val="001E2830"/>
    <w:rsid w:val="00224520"/>
    <w:rsid w:val="002E0E41"/>
    <w:rsid w:val="00351790"/>
    <w:rsid w:val="005376D3"/>
    <w:rsid w:val="005B0348"/>
    <w:rsid w:val="007C7EFD"/>
    <w:rsid w:val="007E69F6"/>
    <w:rsid w:val="00843C56"/>
    <w:rsid w:val="008B703C"/>
    <w:rsid w:val="0099040F"/>
    <w:rsid w:val="009C46A0"/>
    <w:rsid w:val="00A86A26"/>
    <w:rsid w:val="00C40E46"/>
    <w:rsid w:val="00C472B0"/>
    <w:rsid w:val="00C51D67"/>
    <w:rsid w:val="00EB2E4E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379E2D-AB97-46AA-B38C-CED98B6B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1790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A32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9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9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2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hyperlink" Target="mailto:justcheryl.dunn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create.mcgraw-hill.com/shop/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hyperlink" Target="tel:800-962-9342" TargetMode="External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lastModifiedBy>Cheryl Dunn</cp:lastModifiedBy>
  <cp:revision>2</cp:revision>
  <cp:lastPrinted>2014-07-28T17:52:00Z</cp:lastPrinted>
  <dcterms:created xsi:type="dcterms:W3CDTF">2016-05-24T16:50:00Z</dcterms:created>
  <dcterms:modified xsi:type="dcterms:W3CDTF">2016-05-24T16:50:00Z</dcterms:modified>
</cp:coreProperties>
</file>